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25.11.2025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EE4787">
        <w:rPr>
          <w:rFonts w:ascii="Times New Roman" w:eastAsia="Segoe UI Symbol" w:hAnsi="Times New Roman" w:cs="Times New Roman"/>
          <w:color w:val="000000"/>
          <w:sz w:val="26"/>
          <w:szCs w:val="26"/>
        </w:rPr>
        <w:t>2189</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400F7F">
        <w:rPr>
          <w:rFonts w:ascii="Times New Roman" w:eastAsia="Times New Roman" w:hAnsi="Times New Roman" w:cs="Times New Roman"/>
          <w:color w:val="FF0000"/>
          <w:sz w:val="26"/>
          <w:szCs w:val="26"/>
        </w:rPr>
        <w:t>26.03</w:t>
      </w:r>
      <w:r>
        <w:rPr>
          <w:rFonts w:ascii="Times New Roman" w:eastAsia="Times New Roman" w:hAnsi="Times New Roman" w:cs="Times New Roman"/>
          <w:color w:val="FF0000"/>
          <w:sz w:val="26"/>
          <w:szCs w:val="26"/>
        </w:rPr>
        <w:t>.2026г. с 18:00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08.04</w:t>
      </w:r>
      <w:r>
        <w:rPr>
          <w:rFonts w:ascii="Times New Roman" w:eastAsia="Times New Roman" w:hAnsi="Times New Roman" w:cs="Times New Roman"/>
          <w:color w:val="FF0000"/>
          <w:sz w:val="26"/>
          <w:szCs w:val="26"/>
        </w:rPr>
        <w:t>.2026г. до 23:00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09.04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10.04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B03178">
        <w:rPr>
          <w:rFonts w:ascii="Times New Roman" w:eastAsia="Times New Roman" w:hAnsi="Times New Roman" w:cs="Times New Roman"/>
          <w:color w:val="000000"/>
          <w:sz w:val="26"/>
          <w:szCs w:val="26"/>
        </w:rPr>
        <w:t>112</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B82760">
        <w:rPr>
          <w:rFonts w:ascii="Times New Roman" w:eastAsia="Times New Roman" w:hAnsi="Times New Roman" w:cs="Times New Roman"/>
          <w:color w:val="000000"/>
          <w:sz w:val="26"/>
          <w:szCs w:val="26"/>
        </w:rPr>
        <w:t>08012</w:t>
      </w:r>
      <w:r w:rsidR="00421E92">
        <w:rPr>
          <w:rFonts w:ascii="Times New Roman" w:eastAsia="Times New Roman" w:hAnsi="Times New Roman" w:cs="Times New Roman"/>
          <w:color w:val="000000"/>
          <w:sz w:val="26"/>
          <w:szCs w:val="26"/>
        </w:rPr>
        <w:t>8</w:t>
      </w:r>
      <w:r w:rsidR="00B82760">
        <w:rPr>
          <w:rFonts w:ascii="Times New Roman" w:eastAsia="Times New Roman" w:hAnsi="Times New Roman" w:cs="Times New Roman"/>
          <w:color w:val="000000"/>
          <w:sz w:val="26"/>
          <w:szCs w:val="26"/>
        </w:rPr>
        <w:t>3:</w:t>
      </w:r>
      <w:r w:rsidR="00421E92">
        <w:rPr>
          <w:rFonts w:ascii="Times New Roman" w:eastAsia="Times New Roman" w:hAnsi="Times New Roman" w:cs="Times New Roman"/>
          <w:color w:val="000000"/>
          <w:sz w:val="26"/>
          <w:szCs w:val="26"/>
        </w:rPr>
        <w:t>442</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FB56DF">
        <w:rPr>
          <w:rFonts w:ascii="Times New Roman" w:eastAsia="Times New Roman" w:hAnsi="Times New Roman" w:cs="Times New Roman"/>
          <w:color w:val="000000"/>
          <w:sz w:val="26"/>
          <w:szCs w:val="26"/>
        </w:rPr>
        <w:t>13 226 рублей, 68 копеек.</w:t>
      </w:r>
    </w:p>
    <w:p w:rsidR="00FB56DF" w:rsidRPr="00213D85" w:rsidRDefault="004C15DA" w:rsidP="00FB56DF">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FB56DF">
        <w:rPr>
          <w:rFonts w:ascii="Times New Roman" w:eastAsia="Times New Roman" w:hAnsi="Times New Roman" w:cs="Times New Roman"/>
          <w:color w:val="000000"/>
          <w:sz w:val="26"/>
          <w:szCs w:val="26"/>
        </w:rPr>
        <w:t>13 226 рублей, 68 копеек.</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2D2DBB">
        <w:rPr>
          <w:rFonts w:ascii="Times New Roman" w:eastAsia="Times New Roman" w:hAnsi="Times New Roman" w:cs="Times New Roman"/>
          <w:color w:val="000000"/>
          <w:sz w:val="26"/>
          <w:szCs w:val="26"/>
        </w:rPr>
        <w:t>396 рублей 80 копеек.</w:t>
      </w:r>
    </w:p>
    <w:p w:rsidR="00C940A7" w:rsidRPr="00B4349E" w:rsidRDefault="004C15DA" w:rsidP="00C940A7">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C940A7">
        <w:rPr>
          <w:rFonts w:ascii="Times New Roman" w:hAnsi="Times New Roman" w:cs="Times New Roman"/>
          <w:b/>
          <w:color w:val="000000"/>
          <w:sz w:val="26"/>
          <w:szCs w:val="26"/>
        </w:rPr>
        <w:t xml:space="preserve"> </w:t>
      </w:r>
      <w:proofErr w:type="gramStart"/>
      <w:r w:rsidR="00C940A7" w:rsidRPr="00B4349E">
        <w:rPr>
          <w:rFonts w:ascii="Times New Roman" w:hAnsi="Times New Roman"/>
          <w:sz w:val="26"/>
          <w:szCs w:val="26"/>
        </w:rPr>
        <w:t>В</w:t>
      </w:r>
      <w:proofErr w:type="gramEnd"/>
      <w:r w:rsidR="00C940A7" w:rsidRPr="00B4349E">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C940A7" w:rsidRPr="00B4349E" w:rsidRDefault="00C940A7" w:rsidP="00C940A7">
      <w:pPr>
        <w:pStyle w:val="ConsPlusNormal"/>
        <w:ind w:firstLine="709"/>
        <w:jc w:val="both"/>
        <w:rPr>
          <w:rFonts w:ascii="Times New Roman" w:hAnsi="Times New Roman"/>
          <w:sz w:val="26"/>
          <w:szCs w:val="26"/>
        </w:rPr>
      </w:pPr>
      <w:r w:rsidRPr="00B4349E">
        <w:rPr>
          <w:rFonts w:ascii="Times New Roman" w:hAnsi="Times New Roman"/>
          <w:sz w:val="26"/>
          <w:szCs w:val="26"/>
        </w:rPr>
        <w:t xml:space="preserve">Земельный участок расположен в зоне </w:t>
      </w:r>
      <w:r>
        <w:rPr>
          <w:rFonts w:ascii="Times New Roman" w:hAnsi="Times New Roman"/>
          <w:sz w:val="26"/>
          <w:szCs w:val="26"/>
        </w:rPr>
        <w:t xml:space="preserve">подтопления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Pr>
          <w:rFonts w:ascii="Times New Roman" w:hAnsi="Times New Roman"/>
          <w:sz w:val="26"/>
          <w:szCs w:val="26"/>
        </w:rPr>
        <w:t xml:space="preserve">, реки </w:t>
      </w:r>
      <w:proofErr w:type="spellStart"/>
      <w:r>
        <w:rPr>
          <w:rFonts w:ascii="Times New Roman" w:hAnsi="Times New Roman"/>
          <w:sz w:val="26"/>
          <w:szCs w:val="26"/>
        </w:rPr>
        <w:t>Ангелинский</w:t>
      </w:r>
      <w:proofErr w:type="spellEnd"/>
      <w:r>
        <w:rPr>
          <w:rFonts w:ascii="Times New Roman" w:hAnsi="Times New Roman"/>
          <w:sz w:val="26"/>
          <w:szCs w:val="26"/>
        </w:rPr>
        <w:t xml:space="preserve"> ерик 1% обеспеченности (реестровый номер 23:13-6.1802);</w:t>
      </w:r>
    </w:p>
    <w:p w:rsidR="00C940A7" w:rsidRPr="00B4349E" w:rsidRDefault="00C940A7" w:rsidP="00C940A7">
      <w:pPr>
        <w:pStyle w:val="ConsPlusNormal"/>
        <w:ind w:firstLine="709"/>
        <w:jc w:val="both"/>
        <w:rPr>
          <w:rFonts w:ascii="Times New Roman" w:hAnsi="Times New Roman"/>
          <w:sz w:val="26"/>
          <w:szCs w:val="26"/>
        </w:rPr>
      </w:pPr>
      <w:r w:rsidRPr="00B4349E">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C940A7" w:rsidRDefault="00C940A7" w:rsidP="00C940A7">
      <w:pPr>
        <w:pStyle w:val="ConsPlusNormal"/>
        <w:ind w:firstLine="709"/>
        <w:jc w:val="both"/>
        <w:rPr>
          <w:rFonts w:ascii="Times New Roman" w:hAnsi="Times New Roman" w:cs="Times New Roman"/>
          <w:color w:val="000000"/>
          <w:sz w:val="26"/>
          <w:szCs w:val="26"/>
        </w:rPr>
      </w:pPr>
      <w:r w:rsidRPr="00B4349E">
        <w:rPr>
          <w:rFonts w:ascii="Times New Roman" w:hAnsi="Times New Roman"/>
          <w:sz w:val="26"/>
          <w:szCs w:val="26"/>
        </w:rPr>
        <w:t>Земельный участок расположен</w:t>
      </w:r>
      <w:r w:rsidRPr="00B4349E">
        <w:rPr>
          <w:rFonts w:ascii="Times New Roman" w:hAnsi="Times New Roman"/>
          <w:b/>
          <w:sz w:val="26"/>
          <w:szCs w:val="26"/>
        </w:rPr>
        <w:t xml:space="preserve"> </w:t>
      </w:r>
      <w:r w:rsidRPr="00B4349E">
        <w:rPr>
          <w:rFonts w:ascii="Times New Roman" w:hAnsi="Times New Roman" w:cs="Times New Roman"/>
          <w:color w:val="000000"/>
          <w:sz w:val="26"/>
          <w:szCs w:val="26"/>
        </w:rPr>
        <w:t>в границах месторождений полезных ископаемых</w:t>
      </w:r>
      <w:r>
        <w:rPr>
          <w:rFonts w:ascii="Times New Roman" w:hAnsi="Times New Roman" w:cs="Times New Roman"/>
          <w:color w:val="000000"/>
          <w:sz w:val="26"/>
          <w:szCs w:val="26"/>
        </w:rPr>
        <w:t>.</w:t>
      </w:r>
    </w:p>
    <w:p w:rsidR="000245DB" w:rsidRPr="00213D85" w:rsidRDefault="000245DB" w:rsidP="00C940A7">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eastAsia="Times New Roman" w:hAnsi="Times New Roman" w:cs="Times New Roman"/>
          <w:color w:val="000000"/>
          <w:sz w:val="26"/>
          <w:szCs w:val="26"/>
        </w:rPr>
        <w:t>: в соответствии с письмом Ростелеком: от</w:t>
      </w:r>
      <w:r w:rsidR="00C947BD" w:rsidRPr="00213D85">
        <w:rPr>
          <w:rFonts w:ascii="Times New Roman" w:eastAsia="Times New Roman" w:hAnsi="Times New Roman" w:cs="Times New Roman"/>
          <w:color w:val="000000"/>
          <w:sz w:val="26"/>
          <w:szCs w:val="26"/>
        </w:rPr>
        <w:t xml:space="preserve"> </w:t>
      </w:r>
      <w:r w:rsidR="00672C0C">
        <w:rPr>
          <w:rFonts w:ascii="Times New Roman" w:eastAsia="Times New Roman" w:hAnsi="Times New Roman" w:cs="Times New Roman"/>
          <w:color w:val="000000"/>
          <w:sz w:val="26"/>
          <w:szCs w:val="26"/>
        </w:rPr>
        <w:t>01.12</w:t>
      </w:r>
      <w:r w:rsidR="00915166">
        <w:rPr>
          <w:rFonts w:ascii="Times New Roman" w:eastAsia="Times New Roman" w:hAnsi="Times New Roman" w:cs="Times New Roman"/>
          <w:color w:val="000000"/>
          <w:sz w:val="26"/>
          <w:szCs w:val="26"/>
        </w:rPr>
        <w:t>.2025г.</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0407/05/</w:t>
      </w:r>
      <w:r w:rsidR="00672C0C">
        <w:rPr>
          <w:rFonts w:ascii="Times New Roman" w:eastAsia="Times New Roman" w:hAnsi="Times New Roman" w:cs="Times New Roman"/>
          <w:color w:val="000000"/>
          <w:sz w:val="26"/>
          <w:szCs w:val="26"/>
        </w:rPr>
        <w:t>179998</w:t>
      </w:r>
      <w:r w:rsidR="00915166">
        <w:rPr>
          <w:rFonts w:ascii="Times New Roman" w:eastAsia="Times New Roman" w:hAnsi="Times New Roman" w:cs="Times New Roman"/>
          <w:color w:val="000000"/>
          <w:sz w:val="26"/>
          <w:szCs w:val="26"/>
        </w:rPr>
        <w:t>/25</w:t>
      </w:r>
      <w:r w:rsidRPr="00213D85">
        <w:rPr>
          <w:rFonts w:ascii="Times New Roman" w:eastAsia="Times New Roman" w:hAnsi="Times New Roman" w:cs="Times New Roman"/>
          <w:color w:val="000000"/>
          <w:sz w:val="26"/>
          <w:szCs w:val="26"/>
        </w:rPr>
        <w:t xml:space="preserve"> сообщается, что возможность подключения </w:t>
      </w:r>
      <w:r w:rsidR="008118E3" w:rsidRPr="00213D85">
        <w:rPr>
          <w:rFonts w:ascii="Times New Roman" w:eastAsia="Times New Roman" w:hAnsi="Times New Roman" w:cs="Times New Roman"/>
          <w:color w:val="000000"/>
          <w:sz w:val="26"/>
          <w:szCs w:val="26"/>
        </w:rPr>
        <w:t>к сетям связи ПАО «Ростелеком»</w:t>
      </w:r>
      <w:r w:rsidR="00070A68" w:rsidRPr="00213D85">
        <w:rPr>
          <w:rFonts w:ascii="Times New Roman" w:eastAsia="Times New Roman" w:hAnsi="Times New Roman" w:cs="Times New Roman"/>
          <w:color w:val="000000"/>
          <w:sz w:val="26"/>
          <w:szCs w:val="26"/>
        </w:rPr>
        <w:t xml:space="preserve"> </w:t>
      </w:r>
      <w:r w:rsidR="002B7A25">
        <w:rPr>
          <w:rFonts w:ascii="Times New Roman" w:eastAsia="Times New Roman" w:hAnsi="Times New Roman" w:cs="Times New Roman"/>
          <w:sz w:val="26"/>
          <w:szCs w:val="26"/>
        </w:rPr>
        <w:t>име</w:t>
      </w:r>
      <w:r w:rsidR="00915166">
        <w:rPr>
          <w:rFonts w:ascii="Times New Roman" w:eastAsia="Times New Roman" w:hAnsi="Times New Roman" w:cs="Times New Roman"/>
          <w:sz w:val="26"/>
          <w:szCs w:val="26"/>
        </w:rPr>
        <w:t>е</w:t>
      </w:r>
      <w:r w:rsidR="002B7A25">
        <w:rPr>
          <w:rFonts w:ascii="Times New Roman" w:eastAsia="Times New Roman" w:hAnsi="Times New Roman" w:cs="Times New Roman"/>
          <w:sz w:val="26"/>
          <w:szCs w:val="26"/>
        </w:rPr>
        <w:t>тся</w:t>
      </w:r>
      <w:r w:rsidR="00070A68" w:rsidRPr="00213D85">
        <w:rPr>
          <w:rFonts w:ascii="Times New Roman" w:eastAsia="Times New Roman" w:hAnsi="Times New Roman" w:cs="Times New Roman"/>
          <w:color w:val="000000"/>
          <w:sz w:val="26"/>
          <w:szCs w:val="26"/>
        </w:rPr>
        <w:t>.</w:t>
      </w:r>
      <w:r w:rsidR="00A012EF">
        <w:rPr>
          <w:rFonts w:ascii="Times New Roman" w:eastAsia="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eastAsia="Times New Roman" w:hAnsi="Times New Roman" w:cs="Times New Roman"/>
          <w:color w:val="000000"/>
          <w:sz w:val="26"/>
          <w:szCs w:val="26"/>
        </w:rPr>
        <w:t>Ивановская ,</w:t>
      </w:r>
      <w:proofErr w:type="gramEnd"/>
      <w:r w:rsidR="00A012EF">
        <w:rPr>
          <w:rFonts w:ascii="Times New Roman" w:eastAsia="Times New Roman" w:hAnsi="Times New Roman" w:cs="Times New Roman"/>
          <w:color w:val="000000"/>
          <w:sz w:val="26"/>
          <w:szCs w:val="26"/>
        </w:rPr>
        <w:t xml:space="preserve"> ул. Ленина 63</w:t>
      </w:r>
      <w:r w:rsidR="004121BF">
        <w:rPr>
          <w:rFonts w:ascii="Times New Roman" w:eastAsia="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672C0C">
        <w:rPr>
          <w:rFonts w:ascii="Times New Roman" w:eastAsia="Segoe UI Symbol" w:hAnsi="Times New Roman" w:cs="Times New Roman"/>
          <w:color w:val="000000"/>
          <w:sz w:val="26"/>
          <w:szCs w:val="26"/>
        </w:rPr>
        <w:t>04538</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4121BF">
        <w:rPr>
          <w:rFonts w:ascii="Times New Roman" w:eastAsia="Times New Roman" w:hAnsi="Times New Roman" w:cs="Times New Roman"/>
          <w:color w:val="000000"/>
          <w:sz w:val="26"/>
          <w:szCs w:val="26"/>
        </w:rPr>
        <w:t>63</w:t>
      </w:r>
      <w:r w:rsidRPr="00213D85">
        <w:rPr>
          <w:rFonts w:ascii="Times New Roman" w:eastAsia="Times New Roman" w:hAnsi="Times New Roman" w:cs="Times New Roman"/>
          <w:color w:val="000000"/>
          <w:sz w:val="26"/>
          <w:szCs w:val="26"/>
        </w:rPr>
        <w:t xml:space="preserve"> мм </w:t>
      </w:r>
      <w:r w:rsidR="002B7A25">
        <w:rPr>
          <w:rFonts w:ascii="Times New Roman" w:eastAsia="Times New Roman" w:hAnsi="Times New Roman" w:cs="Times New Roman"/>
          <w:color w:val="000000"/>
          <w:sz w:val="26"/>
          <w:szCs w:val="26"/>
        </w:rPr>
        <w:t xml:space="preserve">на пересечении ул. </w:t>
      </w:r>
      <w:r w:rsidR="004121BF">
        <w:rPr>
          <w:rFonts w:ascii="Times New Roman" w:eastAsia="Times New Roman" w:hAnsi="Times New Roman" w:cs="Times New Roman"/>
          <w:color w:val="000000"/>
          <w:sz w:val="26"/>
          <w:szCs w:val="26"/>
        </w:rPr>
        <w:t>Жлобы</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047EFD">
        <w:rPr>
          <w:rFonts w:ascii="Times New Roman" w:eastAsia="Times New Roman" w:hAnsi="Times New Roman" w:cs="Times New Roman"/>
          <w:sz w:val="26"/>
          <w:szCs w:val="26"/>
        </w:rPr>
        <w:t>24.11.2025г</w:t>
      </w:r>
      <w:r w:rsidRPr="00213D85">
        <w:rPr>
          <w:rFonts w:ascii="Times New Roman" w:eastAsia="Times New Roman" w:hAnsi="Times New Roman" w:cs="Times New Roman"/>
          <w:sz w:val="26"/>
          <w:szCs w:val="26"/>
        </w:rPr>
        <w:t>. №33-14-10/</w:t>
      </w:r>
      <w:r w:rsidR="00047EFD">
        <w:rPr>
          <w:rFonts w:ascii="Times New Roman" w:eastAsia="Times New Roman" w:hAnsi="Times New Roman" w:cs="Times New Roman"/>
          <w:sz w:val="26"/>
          <w:szCs w:val="26"/>
        </w:rPr>
        <w:t>20670</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E1707A">
        <w:rPr>
          <w:rFonts w:ascii="Times New Roman" w:eastAsia="Times New Roman" w:hAnsi="Times New Roman" w:cs="Times New Roman"/>
          <w:color w:val="000000"/>
          <w:sz w:val="26"/>
          <w:szCs w:val="26"/>
        </w:rPr>
        <w:t>01</w:t>
      </w:r>
      <w:r w:rsidR="00E1707A">
        <w:rPr>
          <w:rFonts w:ascii="Times New Roman" w:eastAsia="Times New Roman" w:hAnsi="Times New Roman" w:cs="Times New Roman"/>
          <w:color w:val="000000"/>
          <w:sz w:val="26"/>
          <w:szCs w:val="26"/>
        </w:rPr>
        <w:t xml:space="preserve">.11.2025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E1707A">
        <w:rPr>
          <w:rFonts w:ascii="Times New Roman" w:eastAsia="Times New Roman" w:hAnsi="Times New Roman" w:cs="Times New Roman"/>
          <w:color w:val="000000"/>
          <w:sz w:val="26"/>
          <w:szCs w:val="26"/>
        </w:rPr>
        <w:t>28.11</w:t>
      </w:r>
      <w:r w:rsidR="00E1707A">
        <w:rPr>
          <w:rFonts w:ascii="Times New Roman" w:eastAsia="Times New Roman" w:hAnsi="Times New Roman" w:cs="Times New Roman"/>
          <w:color w:val="000000"/>
          <w:sz w:val="26"/>
          <w:szCs w:val="26"/>
        </w:rPr>
        <w:t>.2025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20.01.2026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31/1</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5C3E8F">
        <w:rPr>
          <w:rFonts w:ascii="Times New Roman" w:eastAsia="Times New Roman" w:hAnsi="Times New Roman" w:cs="Times New Roman"/>
          <w:color w:val="363636"/>
          <w:sz w:val="26"/>
          <w:szCs w:val="26"/>
          <w:shd w:val="clear" w:color="auto" w:fill="FFFFFF"/>
        </w:rPr>
        <w:t xml:space="preserve"> (нотариальная доверенность</w:t>
      </w:r>
      <w:bookmarkStart w:id="0" w:name="_GoBack"/>
      <w:bookmarkEnd w:id="0"/>
      <w:r w:rsidR="005C3E8F">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213D85"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cs="Times New Roman"/>
          <w:sz w:val="26"/>
          <w:szCs w:val="26"/>
        </w:rPr>
        <w:t xml:space="preserve">Наивысшая цена </w:t>
      </w:r>
      <w:r w:rsidRPr="00213D85">
        <w:rPr>
          <w:rFonts w:ascii="Times New Roman" w:eastAsia="Arial CYR" w:hAnsi="Times New Roman" w:cs="Times New Roman"/>
          <w:color w:val="000000"/>
          <w:sz w:val="26"/>
          <w:szCs w:val="26"/>
        </w:rPr>
        <w:t>аукциона (а</w:t>
      </w:r>
      <w:r w:rsidRPr="00213D85">
        <w:rPr>
          <w:rFonts w:ascii="Times New Roman" w:hAnsi="Times New Roman"/>
          <w:sz w:val="26"/>
          <w:szCs w:val="26"/>
        </w:rPr>
        <w:t xml:space="preserve">рендная плата за первый год </w:t>
      </w:r>
      <w:proofErr w:type="gramStart"/>
      <w:r w:rsidRPr="00213D85">
        <w:rPr>
          <w:rFonts w:ascii="Times New Roman" w:hAnsi="Times New Roman"/>
          <w:sz w:val="26"/>
          <w:szCs w:val="26"/>
        </w:rPr>
        <w:t>аренды)</w:t>
      </w:r>
      <w:r w:rsidRPr="00213D85">
        <w:rPr>
          <w:rFonts w:ascii="Times New Roman" w:eastAsia="Arial CYR" w:hAnsi="Times New Roman" w:cs="Times New Roman"/>
          <w:color w:val="000000"/>
          <w:sz w:val="26"/>
          <w:szCs w:val="26"/>
        </w:rPr>
        <w:t xml:space="preserve">  предложенная</w:t>
      </w:r>
      <w:proofErr w:type="gramEnd"/>
      <w:r w:rsidRPr="00213D85">
        <w:rPr>
          <w:rFonts w:ascii="Times New Roman" w:eastAsia="Arial CYR" w:hAnsi="Times New Roman" w:cs="Times New Roman"/>
          <w:color w:val="000000"/>
          <w:sz w:val="26"/>
          <w:szCs w:val="26"/>
        </w:rPr>
        <w:t xml:space="preserve"> победителем аукциона -</w:t>
      </w:r>
      <w:r w:rsidRPr="00213D85">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47EFD"/>
    <w:rsid w:val="000519BB"/>
    <w:rsid w:val="000668CF"/>
    <w:rsid w:val="00070A68"/>
    <w:rsid w:val="00073644"/>
    <w:rsid w:val="000760B9"/>
    <w:rsid w:val="000815C1"/>
    <w:rsid w:val="000A5880"/>
    <w:rsid w:val="000B7783"/>
    <w:rsid w:val="000C4FA2"/>
    <w:rsid w:val="00131C59"/>
    <w:rsid w:val="001349B9"/>
    <w:rsid w:val="00140795"/>
    <w:rsid w:val="00163A33"/>
    <w:rsid w:val="00166054"/>
    <w:rsid w:val="00166BD8"/>
    <w:rsid w:val="00186AD6"/>
    <w:rsid w:val="00190BA2"/>
    <w:rsid w:val="001B25AB"/>
    <w:rsid w:val="001E34CB"/>
    <w:rsid w:val="002048F6"/>
    <w:rsid w:val="00211815"/>
    <w:rsid w:val="00213D85"/>
    <w:rsid w:val="00225A25"/>
    <w:rsid w:val="00226C71"/>
    <w:rsid w:val="00242605"/>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768CE"/>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95D0D"/>
    <w:rsid w:val="004C15DA"/>
    <w:rsid w:val="004D1D63"/>
    <w:rsid w:val="004D7626"/>
    <w:rsid w:val="004F1842"/>
    <w:rsid w:val="004F73DA"/>
    <w:rsid w:val="005166D7"/>
    <w:rsid w:val="00521D51"/>
    <w:rsid w:val="005238F7"/>
    <w:rsid w:val="00524DFB"/>
    <w:rsid w:val="00550ED8"/>
    <w:rsid w:val="00562301"/>
    <w:rsid w:val="0057536E"/>
    <w:rsid w:val="00583312"/>
    <w:rsid w:val="00587809"/>
    <w:rsid w:val="00596AD1"/>
    <w:rsid w:val="005C3E8F"/>
    <w:rsid w:val="005D594C"/>
    <w:rsid w:val="005F4925"/>
    <w:rsid w:val="00604EEB"/>
    <w:rsid w:val="00630596"/>
    <w:rsid w:val="006412FF"/>
    <w:rsid w:val="00653551"/>
    <w:rsid w:val="00665521"/>
    <w:rsid w:val="00671645"/>
    <w:rsid w:val="00672C0C"/>
    <w:rsid w:val="00683ED0"/>
    <w:rsid w:val="006A4C88"/>
    <w:rsid w:val="006A7FAA"/>
    <w:rsid w:val="00710A38"/>
    <w:rsid w:val="007405F8"/>
    <w:rsid w:val="007652E9"/>
    <w:rsid w:val="00784EF2"/>
    <w:rsid w:val="00790635"/>
    <w:rsid w:val="0079135F"/>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915166"/>
    <w:rsid w:val="0092397C"/>
    <w:rsid w:val="00945B72"/>
    <w:rsid w:val="00971297"/>
    <w:rsid w:val="009A3478"/>
    <w:rsid w:val="009A4CF3"/>
    <w:rsid w:val="009C575E"/>
    <w:rsid w:val="009F4595"/>
    <w:rsid w:val="00A012EF"/>
    <w:rsid w:val="00A03058"/>
    <w:rsid w:val="00A050DF"/>
    <w:rsid w:val="00A41BA2"/>
    <w:rsid w:val="00A459F6"/>
    <w:rsid w:val="00A46603"/>
    <w:rsid w:val="00A55FE0"/>
    <w:rsid w:val="00A6142B"/>
    <w:rsid w:val="00A714F4"/>
    <w:rsid w:val="00A86481"/>
    <w:rsid w:val="00AA23D4"/>
    <w:rsid w:val="00AE18E9"/>
    <w:rsid w:val="00B01479"/>
    <w:rsid w:val="00B03178"/>
    <w:rsid w:val="00B153C5"/>
    <w:rsid w:val="00B21A59"/>
    <w:rsid w:val="00B256A2"/>
    <w:rsid w:val="00B32446"/>
    <w:rsid w:val="00B334BD"/>
    <w:rsid w:val="00B3670F"/>
    <w:rsid w:val="00B47B3F"/>
    <w:rsid w:val="00B750DF"/>
    <w:rsid w:val="00B82760"/>
    <w:rsid w:val="00BB1F43"/>
    <w:rsid w:val="00BC3B5A"/>
    <w:rsid w:val="00BC4E3C"/>
    <w:rsid w:val="00BD4D7C"/>
    <w:rsid w:val="00BE419E"/>
    <w:rsid w:val="00BF6C62"/>
    <w:rsid w:val="00BF6FC6"/>
    <w:rsid w:val="00C05B50"/>
    <w:rsid w:val="00C101EF"/>
    <w:rsid w:val="00C115D5"/>
    <w:rsid w:val="00C12238"/>
    <w:rsid w:val="00C3386A"/>
    <w:rsid w:val="00C35756"/>
    <w:rsid w:val="00C479F7"/>
    <w:rsid w:val="00C52837"/>
    <w:rsid w:val="00C53F16"/>
    <w:rsid w:val="00C6262B"/>
    <w:rsid w:val="00C87B97"/>
    <w:rsid w:val="00C940A7"/>
    <w:rsid w:val="00C947BD"/>
    <w:rsid w:val="00CA4288"/>
    <w:rsid w:val="00CB1FC2"/>
    <w:rsid w:val="00CD3843"/>
    <w:rsid w:val="00CD4072"/>
    <w:rsid w:val="00CD7FF6"/>
    <w:rsid w:val="00D10526"/>
    <w:rsid w:val="00D165A0"/>
    <w:rsid w:val="00D35523"/>
    <w:rsid w:val="00D47FDE"/>
    <w:rsid w:val="00D65E52"/>
    <w:rsid w:val="00D663CB"/>
    <w:rsid w:val="00D74549"/>
    <w:rsid w:val="00D861A9"/>
    <w:rsid w:val="00D9573B"/>
    <w:rsid w:val="00D959DC"/>
    <w:rsid w:val="00DA23F2"/>
    <w:rsid w:val="00DA3205"/>
    <w:rsid w:val="00DA5D80"/>
    <w:rsid w:val="00DB487F"/>
    <w:rsid w:val="00DC395D"/>
    <w:rsid w:val="00DE6EC9"/>
    <w:rsid w:val="00E03B3D"/>
    <w:rsid w:val="00E1707A"/>
    <w:rsid w:val="00E176DF"/>
    <w:rsid w:val="00E21E04"/>
    <w:rsid w:val="00E2683C"/>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3A0B"/>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1744</TotalTime>
  <Pages>11</Pages>
  <Words>4881</Words>
  <Characters>27825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217</cp:revision>
  <cp:lastPrinted>2023-06-22T08:36:00Z</cp:lastPrinted>
  <dcterms:created xsi:type="dcterms:W3CDTF">2023-06-19T06:28:00Z</dcterms:created>
  <dcterms:modified xsi:type="dcterms:W3CDTF">2026-03-26T07:03:00Z</dcterms:modified>
</cp:coreProperties>
</file>